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E5003" w14:textId="77777777" w:rsidR="006C594D" w:rsidRPr="00CF73E1" w:rsidRDefault="00997F14" w:rsidP="006C594D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953"/>
      <w:bookmarkStart w:id="1" w:name="_Hlk201668836"/>
      <w:r w:rsidR="006C594D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7D04B52" w14:textId="77777777" w:rsidR="006C594D" w:rsidRPr="009C54AE" w:rsidRDefault="006C594D" w:rsidP="006C594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E66686" w14:textId="77777777" w:rsidR="006C594D" w:rsidRDefault="006C594D" w:rsidP="006C59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5DF8056F" w14:textId="77777777" w:rsidR="006C594D" w:rsidRPr="00B169DF" w:rsidRDefault="006C594D" w:rsidP="006C59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EF55CC0" w14:textId="77777777" w:rsidR="006C594D" w:rsidRPr="00A93C55" w:rsidRDefault="006C594D" w:rsidP="006C594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56E4F497" w14:textId="75F3FB07" w:rsidR="0085747A" w:rsidRPr="00B169DF" w:rsidRDefault="0085747A" w:rsidP="006C594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888211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710EB92" w14:textId="77777777" w:rsidTr="00B819C8">
        <w:tc>
          <w:tcPr>
            <w:tcW w:w="2694" w:type="dxa"/>
            <w:vAlign w:val="center"/>
          </w:tcPr>
          <w:p w14:paraId="096A603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94D22" w14:textId="77777777" w:rsidR="0085747A" w:rsidRPr="00B169DF" w:rsidRDefault="002E4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Kulturowe reprezentacje świata</w:t>
            </w:r>
          </w:p>
        </w:tc>
      </w:tr>
      <w:tr w:rsidR="0085747A" w:rsidRPr="00B169DF" w14:paraId="6720AC92" w14:textId="77777777" w:rsidTr="00B819C8">
        <w:tc>
          <w:tcPr>
            <w:tcW w:w="2694" w:type="dxa"/>
            <w:vAlign w:val="center"/>
          </w:tcPr>
          <w:p w14:paraId="2F29E7D4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AF74CC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2DB4FAB2" w14:textId="77777777" w:rsidTr="00B819C8">
        <w:tc>
          <w:tcPr>
            <w:tcW w:w="2694" w:type="dxa"/>
            <w:vAlign w:val="center"/>
          </w:tcPr>
          <w:p w14:paraId="6B893D9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0DDBC6" w14:textId="6FD0370D" w:rsidR="0085747A" w:rsidRPr="00B169DF" w:rsidRDefault="006C59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119284E3" w14:textId="77777777" w:rsidTr="00B819C8">
        <w:tc>
          <w:tcPr>
            <w:tcW w:w="2694" w:type="dxa"/>
            <w:vAlign w:val="center"/>
          </w:tcPr>
          <w:p w14:paraId="1302483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9A5A99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985E9BC" w14:textId="77777777" w:rsidTr="00B819C8">
        <w:tc>
          <w:tcPr>
            <w:tcW w:w="2694" w:type="dxa"/>
            <w:vAlign w:val="center"/>
          </w:tcPr>
          <w:p w14:paraId="3D00C2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23E7F1" w14:textId="77777777" w:rsidR="0085747A" w:rsidRPr="00B169DF" w:rsidRDefault="003118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</w:t>
            </w:r>
            <w:r w:rsidR="00560EAB">
              <w:rPr>
                <w:rFonts w:ascii="Corbel" w:hAnsi="Corbel"/>
                <w:b w:val="0"/>
                <w:sz w:val="24"/>
                <w:szCs w:val="24"/>
              </w:rPr>
              <w:t>dzykulturowa</w:t>
            </w:r>
          </w:p>
        </w:tc>
      </w:tr>
      <w:tr w:rsidR="0085747A" w:rsidRPr="00B169DF" w14:paraId="1A4B7B6D" w14:textId="77777777" w:rsidTr="00B819C8">
        <w:tc>
          <w:tcPr>
            <w:tcW w:w="2694" w:type="dxa"/>
            <w:vAlign w:val="center"/>
          </w:tcPr>
          <w:p w14:paraId="61649B53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A7AAAC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5A49C6EE" w14:textId="77777777" w:rsidTr="00B819C8">
        <w:tc>
          <w:tcPr>
            <w:tcW w:w="2694" w:type="dxa"/>
            <w:vAlign w:val="center"/>
          </w:tcPr>
          <w:p w14:paraId="5CCAD0A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35827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456C75CC" w14:textId="77777777" w:rsidTr="00B819C8">
        <w:tc>
          <w:tcPr>
            <w:tcW w:w="2694" w:type="dxa"/>
            <w:vAlign w:val="center"/>
          </w:tcPr>
          <w:p w14:paraId="5B616E8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DB0C1C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FE0410C" w14:textId="77777777" w:rsidTr="00B819C8">
        <w:tc>
          <w:tcPr>
            <w:tcW w:w="2694" w:type="dxa"/>
            <w:vAlign w:val="center"/>
          </w:tcPr>
          <w:p w14:paraId="6CEFF4F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958A1C" w14:textId="77777777" w:rsidR="0085747A" w:rsidRPr="00B169DF" w:rsidRDefault="003118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85747A" w:rsidRPr="00B169DF" w14:paraId="6FB10D3C" w14:textId="77777777" w:rsidTr="00B819C8">
        <w:tc>
          <w:tcPr>
            <w:tcW w:w="2694" w:type="dxa"/>
            <w:vAlign w:val="center"/>
          </w:tcPr>
          <w:p w14:paraId="792C19E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EAF476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5B91ADCA" w14:textId="77777777" w:rsidTr="00B819C8">
        <w:tc>
          <w:tcPr>
            <w:tcW w:w="2694" w:type="dxa"/>
            <w:vAlign w:val="center"/>
          </w:tcPr>
          <w:p w14:paraId="7655A3BD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778E0F" w14:textId="77777777" w:rsidR="00923D7D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0FF3411" w14:textId="77777777" w:rsidTr="00B819C8">
        <w:tc>
          <w:tcPr>
            <w:tcW w:w="2694" w:type="dxa"/>
            <w:vAlign w:val="center"/>
          </w:tcPr>
          <w:p w14:paraId="7EC4FE2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568A29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B169DF" w14:paraId="6A9893A9" w14:textId="77777777" w:rsidTr="00B819C8">
        <w:tc>
          <w:tcPr>
            <w:tcW w:w="2694" w:type="dxa"/>
            <w:vAlign w:val="center"/>
          </w:tcPr>
          <w:p w14:paraId="797D3C9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8AC446" w14:textId="77777777" w:rsidR="0085747A" w:rsidRPr="00B169DF" w:rsidRDefault="00560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7A65994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6B52AC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37F2BC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67DE3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7EFF5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3F4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91A139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43B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C8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D2F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5E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7F9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88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251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CF8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130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52F664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3A68" w14:textId="77777777" w:rsidR="00015B8F" w:rsidRPr="00B169DF" w:rsidRDefault="00560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5411" w14:textId="77777777" w:rsidR="00015B8F" w:rsidRPr="00B169DF" w:rsidRDefault="00560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D11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38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806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9A2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D21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82D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2F3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C58" w14:textId="77777777" w:rsidR="00015B8F" w:rsidRPr="00B169DF" w:rsidRDefault="00560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0DFCCAF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E5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4B7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AB4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A7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D20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486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A7C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C1B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C6E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46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0299A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E740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46769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53FE887" w14:textId="77777777" w:rsidR="0085747A" w:rsidRPr="003118A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3118A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C857F0" w14:textId="77777777" w:rsidR="0085747A" w:rsidRPr="003118A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3118A9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63E264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2F0788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560EA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4A40EEA2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0F8B01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46A2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74C4EA3" w14:textId="77777777" w:rsidTr="00745302">
        <w:tc>
          <w:tcPr>
            <w:tcW w:w="9670" w:type="dxa"/>
          </w:tcPr>
          <w:p w14:paraId="0C7903E8" w14:textId="77777777" w:rsidR="0085747A" w:rsidRPr="00B169DF" w:rsidRDefault="00560E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antropologii kultury, antropologii filozoficznej.</w:t>
            </w:r>
          </w:p>
          <w:p w14:paraId="1997956E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71AD7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18777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6AAC8F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DB92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AE4D0D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4F88929F" w14:textId="77777777" w:rsidTr="00923D7D">
        <w:tc>
          <w:tcPr>
            <w:tcW w:w="851" w:type="dxa"/>
            <w:vAlign w:val="center"/>
          </w:tcPr>
          <w:p w14:paraId="472C2FA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DF7D0" w14:textId="77777777" w:rsidR="0085747A" w:rsidRPr="00B169DF" w:rsidRDefault="00504B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Głównym celem przedmiotu jest wiedza na temat sposobu ujmowania rzeczywistości poprzez doświadczenie jakie daje kultura właściwa tylko człowiekowi jako podmiotowi poznającemu.</w:t>
            </w:r>
          </w:p>
        </w:tc>
      </w:tr>
      <w:tr w:rsidR="0085747A" w:rsidRPr="00B169DF" w14:paraId="43EB09B9" w14:textId="77777777" w:rsidTr="00923D7D">
        <w:tc>
          <w:tcPr>
            <w:tcW w:w="851" w:type="dxa"/>
            <w:vAlign w:val="center"/>
          </w:tcPr>
          <w:p w14:paraId="456DB01C" w14:textId="77777777" w:rsidR="0085747A" w:rsidRPr="00B169DF" w:rsidRDefault="00504B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09ED8D" w14:textId="77777777" w:rsidR="0085747A" w:rsidRPr="00B169DF" w:rsidRDefault="00504B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 jest zdolność rozumienia świata poprzez wyróżnione dziedziny kultury.</w:t>
            </w:r>
          </w:p>
        </w:tc>
      </w:tr>
      <w:tr w:rsidR="0085747A" w:rsidRPr="00B169DF" w14:paraId="537DE3EE" w14:textId="77777777" w:rsidTr="00923D7D">
        <w:tc>
          <w:tcPr>
            <w:tcW w:w="851" w:type="dxa"/>
            <w:vAlign w:val="center"/>
          </w:tcPr>
          <w:p w14:paraId="2AE0CD5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0D32088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9E06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7936BB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135687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3EBBA8E" w14:textId="77777777" w:rsidTr="0071620A">
        <w:tc>
          <w:tcPr>
            <w:tcW w:w="1701" w:type="dxa"/>
            <w:vAlign w:val="center"/>
          </w:tcPr>
          <w:p w14:paraId="18F68B5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4C026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0466E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C90154D" w14:textId="77777777" w:rsidTr="005E6E85">
        <w:tc>
          <w:tcPr>
            <w:tcW w:w="1701" w:type="dxa"/>
          </w:tcPr>
          <w:p w14:paraId="556093E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1604B6" w14:textId="77777777" w:rsidR="0085747A" w:rsidRDefault="003C52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na temat człowieka jako podmiotu poznającego. Ma świadomość jego zdolności poznawczych i ograniczeń. </w:t>
            </w:r>
          </w:p>
          <w:p w14:paraId="68BFC27C" w14:textId="77777777" w:rsidR="003C5246" w:rsidRPr="00B169DF" w:rsidRDefault="003C52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wie w jaki sposób kultura wpływała na schematy reprezentacji świata. Wie, że percepcja danej rzeczywistości jest zależna od schematów wytworzonych w danej kulturze. Student zna idee wiedzy i jej dążenia do scalenia, unifikacji i obiektywizacji postrzeganej rzeczywistości.  </w:t>
            </w:r>
          </w:p>
        </w:tc>
        <w:tc>
          <w:tcPr>
            <w:tcW w:w="1873" w:type="dxa"/>
          </w:tcPr>
          <w:p w14:paraId="1F94FF5E" w14:textId="77777777" w:rsidR="0085747A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2157757" w14:textId="7FB8FE1E" w:rsidR="00504BCB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27E9B9B3" w14:textId="77777777" w:rsidTr="005E6E85">
        <w:tc>
          <w:tcPr>
            <w:tcW w:w="1701" w:type="dxa"/>
          </w:tcPr>
          <w:p w14:paraId="3E8E1CD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627B8" w14:textId="77777777" w:rsidR="0085747A" w:rsidRPr="00B169DF" w:rsidRDefault="003C52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selekcjonować i analizować materiały źródłowe. Wykształca w sobie myślenie twórcze i postawę poszukiwania nowych rozwiązań. </w:t>
            </w:r>
          </w:p>
        </w:tc>
        <w:tc>
          <w:tcPr>
            <w:tcW w:w="1873" w:type="dxa"/>
          </w:tcPr>
          <w:p w14:paraId="3A5EAB17" w14:textId="77777777" w:rsidR="0085747A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D664E6" w14:textId="67C61FB5" w:rsidR="00504BCB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525A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1303F628" w14:textId="77777777" w:rsidTr="005E6E85">
        <w:tc>
          <w:tcPr>
            <w:tcW w:w="1701" w:type="dxa"/>
          </w:tcPr>
          <w:p w14:paraId="4C85E25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4BC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748128B" w14:textId="77777777" w:rsidR="0085747A" w:rsidRPr="00B169DF" w:rsidRDefault="00B4316C" w:rsidP="00B431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przyjmowania nowych idei, zmiany opinii w świetle dostępnych nowych argumentów. Potrafi zabrać głos w dyskusji przedstawiając swoją argumentację. </w:t>
            </w:r>
          </w:p>
        </w:tc>
        <w:tc>
          <w:tcPr>
            <w:tcW w:w="1873" w:type="dxa"/>
          </w:tcPr>
          <w:p w14:paraId="32FC4586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1A0713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6A8F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3CF7D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0FD442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9CA38ED" w14:textId="77777777" w:rsidTr="00923D7D">
        <w:tc>
          <w:tcPr>
            <w:tcW w:w="9639" w:type="dxa"/>
          </w:tcPr>
          <w:p w14:paraId="7F2C83D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E077A57" w14:textId="77777777" w:rsidTr="00923D7D">
        <w:tc>
          <w:tcPr>
            <w:tcW w:w="9639" w:type="dxa"/>
          </w:tcPr>
          <w:p w14:paraId="0DF6BEEE" w14:textId="77777777" w:rsidR="0085747A" w:rsidRPr="00560EAB" w:rsidRDefault="00560E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Człowiek jako </w:t>
            </w:r>
            <w:r w:rsidRPr="00560EAB">
              <w:rPr>
                <w:rFonts w:ascii="Corbel" w:hAnsi="Corbel"/>
                <w:i/>
                <w:sz w:val="24"/>
                <w:szCs w:val="24"/>
              </w:rPr>
              <w:t>homo sapiens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perspektywy, definicje. Aktywność poznawcza człowieka a tworzenie różnych teorii w kulturze i poprzez kulturę. </w:t>
            </w:r>
          </w:p>
        </w:tc>
      </w:tr>
      <w:tr w:rsidR="0085747A" w:rsidRPr="00B169DF" w14:paraId="38AB38DE" w14:textId="77777777" w:rsidTr="00923D7D">
        <w:tc>
          <w:tcPr>
            <w:tcW w:w="9639" w:type="dxa"/>
          </w:tcPr>
          <w:p w14:paraId="0FED3932" w14:textId="77777777" w:rsidR="0085747A" w:rsidRDefault="00560E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doświadczania świata i jego wpływ na reprezentację świata w:</w:t>
            </w:r>
          </w:p>
          <w:p w14:paraId="1AB7E19F" w14:textId="77777777" w:rsidR="003C5246" w:rsidRDefault="003C524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Języku</w:t>
            </w:r>
          </w:p>
          <w:p w14:paraId="1B575BEB" w14:textId="77777777" w:rsidR="00560EAB" w:rsidRDefault="00504BCB" w:rsidP="00504B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Religii</w:t>
            </w:r>
          </w:p>
          <w:p w14:paraId="016E00F8" w14:textId="77777777" w:rsidR="00504BCB" w:rsidRDefault="00504BCB" w:rsidP="00504B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Sztuce</w:t>
            </w:r>
          </w:p>
          <w:p w14:paraId="7427DF37" w14:textId="77777777" w:rsidR="00504BCB" w:rsidRPr="00504BCB" w:rsidRDefault="00504BCB" w:rsidP="00504B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Nauce</w:t>
            </w:r>
          </w:p>
        </w:tc>
      </w:tr>
      <w:tr w:rsidR="0085747A" w:rsidRPr="00B169DF" w14:paraId="01AE3000" w14:textId="77777777" w:rsidTr="00923D7D">
        <w:tc>
          <w:tcPr>
            <w:tcW w:w="9639" w:type="dxa"/>
          </w:tcPr>
          <w:p w14:paraId="1BB173A5" w14:textId="77777777" w:rsidR="0085747A" w:rsidRPr="00B169DF" w:rsidRDefault="00504BC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nauki w tworzeniu się unifikującej reprezentacji świata.</w:t>
            </w:r>
          </w:p>
        </w:tc>
      </w:tr>
    </w:tbl>
    <w:p w14:paraId="1274262D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94C5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6D2274B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4BAA118" w14:textId="77777777" w:rsidTr="00923D7D">
        <w:tc>
          <w:tcPr>
            <w:tcW w:w="9639" w:type="dxa"/>
          </w:tcPr>
          <w:p w14:paraId="5DE4FC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C7354E5" w14:textId="77777777" w:rsidTr="00923D7D">
        <w:tc>
          <w:tcPr>
            <w:tcW w:w="9639" w:type="dxa"/>
          </w:tcPr>
          <w:p w14:paraId="76C2DBB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0047B88" w14:textId="77777777" w:rsidTr="00923D7D">
        <w:tc>
          <w:tcPr>
            <w:tcW w:w="9639" w:type="dxa"/>
          </w:tcPr>
          <w:p w14:paraId="5F8C9A3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3CE64" w14:textId="77777777" w:rsidTr="00923D7D">
        <w:tc>
          <w:tcPr>
            <w:tcW w:w="9639" w:type="dxa"/>
          </w:tcPr>
          <w:p w14:paraId="3703E48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F18BA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7376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565F5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83870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61A0CD0" w14:textId="77777777" w:rsidR="00153C41" w:rsidRPr="003118A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  <w:u w:val="single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3118A9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3118A9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3118A9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metody kształcenia na odległość </w:t>
      </w:r>
    </w:p>
    <w:p w14:paraId="006A3F2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705D93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66A09B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3797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7094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CD35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144BF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B2B4F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9D4719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15B6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A0F920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6E25279" w14:textId="77777777" w:rsidTr="00C05F44">
        <w:tc>
          <w:tcPr>
            <w:tcW w:w="1985" w:type="dxa"/>
            <w:vAlign w:val="center"/>
          </w:tcPr>
          <w:p w14:paraId="5261E092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F12C90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475CE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362B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AF79D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0375C37" w14:textId="77777777" w:rsidTr="00C05F44">
        <w:tc>
          <w:tcPr>
            <w:tcW w:w="1985" w:type="dxa"/>
          </w:tcPr>
          <w:p w14:paraId="5382C13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A3B9CAB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04BCB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BF63AB7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1A84FA9D" w14:textId="77777777" w:rsidTr="00C05F44">
        <w:tc>
          <w:tcPr>
            <w:tcW w:w="1985" w:type="dxa"/>
          </w:tcPr>
          <w:p w14:paraId="16D98CB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504BCB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32F8F1B9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5E0F7D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A8F2875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0FFF0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DB7600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DA6712C" w14:textId="77777777" w:rsidTr="00923D7D">
        <w:tc>
          <w:tcPr>
            <w:tcW w:w="9670" w:type="dxa"/>
          </w:tcPr>
          <w:p w14:paraId="3EEB8DA9" w14:textId="77777777" w:rsidR="0085747A" w:rsidRPr="00B169DF" w:rsidRDefault="00504B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 z zakresu</w:t>
            </w:r>
            <w:r w:rsidR="003C5246">
              <w:rPr>
                <w:rFonts w:ascii="Corbel" w:hAnsi="Corbel"/>
                <w:b w:val="0"/>
                <w:smallCaps w:val="0"/>
                <w:szCs w:val="24"/>
              </w:rPr>
              <w:t xml:space="preserve"> tego przedmiotu prezentowana podczas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uzupełniana poprzez wskazaną literaturę</w:t>
            </w:r>
            <w:r w:rsidR="003118A9">
              <w:rPr>
                <w:rFonts w:ascii="Corbel" w:hAnsi="Corbel"/>
                <w:b w:val="0"/>
                <w:smallCaps w:val="0"/>
                <w:szCs w:val="24"/>
              </w:rPr>
              <w:t xml:space="preserve">. Na ocenę dst </w:t>
            </w:r>
            <w:r w:rsidR="0078328E">
              <w:rPr>
                <w:rFonts w:ascii="Corbel" w:hAnsi="Corbel"/>
                <w:b w:val="0"/>
                <w:smallCaps w:val="0"/>
                <w:szCs w:val="24"/>
              </w:rPr>
              <w:t xml:space="preserve"> student powinien pozyskać wiedzę z zakresu antropologii a szczególnie jej aspektu teoriopoznawczego. Powinien znać perspektywy różnych form kulturowych poprzez które tworzą się reprezentacje świata.</w:t>
            </w:r>
            <w:r w:rsidR="003118A9">
              <w:rPr>
                <w:rFonts w:ascii="Corbel" w:hAnsi="Corbel"/>
                <w:b w:val="0"/>
                <w:smallCaps w:val="0"/>
                <w:szCs w:val="24"/>
              </w:rPr>
              <w:t xml:space="preserve"> na ocenę db jw. oraz wiedza na temat ograniczeń poznawczych człowiek i sposobu percepcji świata w danej formie kulturowej. Wie jak jest rola nauki we współczesnym świecie. Na ocenę bdb </w:t>
            </w:r>
            <w:r w:rsidR="00783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18A9">
              <w:rPr>
                <w:rFonts w:ascii="Corbel" w:hAnsi="Corbel"/>
                <w:b w:val="0"/>
                <w:smallCaps w:val="0"/>
                <w:szCs w:val="24"/>
              </w:rPr>
              <w:t xml:space="preserve">Student ma wyczerpującą wiedzę jw. oraz  potrafi zaprezentować swoje stanowisko popierając je odpowiednimi argumentami. </w:t>
            </w:r>
            <w:r w:rsidR="0078328E">
              <w:rPr>
                <w:rFonts w:ascii="Corbel" w:hAnsi="Corbel"/>
                <w:b w:val="0"/>
                <w:smallCaps w:val="0"/>
                <w:szCs w:val="24"/>
              </w:rPr>
              <w:t>Wymagana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obecność 80</w:t>
            </w:r>
            <w:r w:rsidR="003C5246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</w:tc>
      </w:tr>
    </w:tbl>
    <w:p w14:paraId="25508A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E18206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45D86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3283A87" w14:textId="77777777" w:rsidTr="003E1941">
        <w:tc>
          <w:tcPr>
            <w:tcW w:w="4962" w:type="dxa"/>
            <w:vAlign w:val="center"/>
          </w:tcPr>
          <w:p w14:paraId="658ABD8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96D2F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CA154C0" w14:textId="77777777" w:rsidTr="00923D7D">
        <w:tc>
          <w:tcPr>
            <w:tcW w:w="4962" w:type="dxa"/>
          </w:tcPr>
          <w:p w14:paraId="295A1CF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170ED9" w14:textId="77777777" w:rsidR="0085747A" w:rsidRPr="00B169DF" w:rsidRDefault="0050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04B1318" w14:textId="77777777" w:rsidTr="00923D7D">
        <w:tc>
          <w:tcPr>
            <w:tcW w:w="4962" w:type="dxa"/>
          </w:tcPr>
          <w:p w14:paraId="043D334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E3FA0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56FC18AA" w14:textId="77777777" w:rsidR="00C61DC5" w:rsidRPr="00B169DF" w:rsidRDefault="0050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15 </w:t>
            </w:r>
          </w:p>
        </w:tc>
      </w:tr>
      <w:tr w:rsidR="00C61DC5" w:rsidRPr="00B169DF" w14:paraId="5DBA5660" w14:textId="77777777" w:rsidTr="00923D7D">
        <w:tc>
          <w:tcPr>
            <w:tcW w:w="4962" w:type="dxa"/>
          </w:tcPr>
          <w:p w14:paraId="7B28315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F8FA1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E51F1" w14:textId="77777777" w:rsidR="00C61DC5" w:rsidRPr="00B169DF" w:rsidRDefault="0050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4EECBBA3" w14:textId="77777777" w:rsidTr="00923D7D">
        <w:tc>
          <w:tcPr>
            <w:tcW w:w="4962" w:type="dxa"/>
          </w:tcPr>
          <w:p w14:paraId="50909A2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77D9D6" w14:textId="77777777" w:rsidR="0085747A" w:rsidRPr="00B169DF" w:rsidRDefault="0050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50 </w:t>
            </w:r>
          </w:p>
        </w:tc>
      </w:tr>
      <w:tr w:rsidR="0085747A" w:rsidRPr="00B169DF" w14:paraId="3463B934" w14:textId="77777777" w:rsidTr="00923D7D">
        <w:tc>
          <w:tcPr>
            <w:tcW w:w="4962" w:type="dxa"/>
          </w:tcPr>
          <w:p w14:paraId="6AE72E5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E97614" w14:textId="77777777" w:rsidR="0085747A" w:rsidRPr="00B169DF" w:rsidRDefault="0050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70C4D4DB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26D50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6ACE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6E316F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87748D7" w14:textId="77777777" w:rsidTr="0071620A">
        <w:trPr>
          <w:trHeight w:val="397"/>
        </w:trPr>
        <w:tc>
          <w:tcPr>
            <w:tcW w:w="3544" w:type="dxa"/>
          </w:tcPr>
          <w:p w14:paraId="40F4084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E2E6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853D8E6" w14:textId="77777777" w:rsidTr="0071620A">
        <w:trPr>
          <w:trHeight w:val="397"/>
        </w:trPr>
        <w:tc>
          <w:tcPr>
            <w:tcW w:w="3544" w:type="dxa"/>
          </w:tcPr>
          <w:p w14:paraId="633219B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11C2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B4B624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BC3A9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4E20F046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6AE4474" w14:textId="77777777" w:rsidTr="0071620A">
        <w:trPr>
          <w:trHeight w:val="397"/>
        </w:trPr>
        <w:tc>
          <w:tcPr>
            <w:tcW w:w="7513" w:type="dxa"/>
          </w:tcPr>
          <w:p w14:paraId="60AE8E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67F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67F5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Patrzenie i widzenie w kontekstach kulturoznawczych, </w:t>
            </w:r>
            <w:r w:rsidR="00B67F5D">
              <w:rPr>
                <w:rFonts w:ascii="Corbel" w:hAnsi="Corbel"/>
                <w:b w:val="0"/>
                <w:smallCaps w:val="0"/>
                <w:szCs w:val="24"/>
              </w:rPr>
              <w:t xml:space="preserve">red. J. Dziewit, M. Kołodziej, A. Pisarek </w:t>
            </w:r>
          </w:p>
          <w:p w14:paraId="239C2753" w14:textId="77777777" w:rsidR="00B67F5D" w:rsidRDefault="00B67F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Artykuły</w:t>
            </w:r>
          </w:p>
          <w:p w14:paraId="389D688E" w14:textId="77777777" w:rsidR="00B67F5D" w:rsidRPr="0094199E" w:rsidRDefault="00B67F5D" w:rsidP="00B67F5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Górska,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Lilith i jej potomstwo w literaturze hebrajskiej oraz najnowszej kulturze popularnej – przegląd wybranych reprezentacji, </w:t>
            </w:r>
            <w:r w:rsidR="0094199E">
              <w:rPr>
                <w:rFonts w:ascii="Corbel" w:hAnsi="Corbel"/>
                <w:b w:val="0"/>
                <w:smallCaps w:val="0"/>
                <w:szCs w:val="24"/>
              </w:rPr>
              <w:t>W: Dyskurs Pismo Naukowo – Artystyczne ASP, 2019</w:t>
            </w:r>
          </w:p>
          <w:p w14:paraId="09C0DB6B" w14:textId="77777777" w:rsidR="0094199E" w:rsidRPr="0094199E" w:rsidRDefault="0094199E" w:rsidP="0094199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Nycz,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opisać doświadczenie, którego nie ma?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Teksty Drugie 2004, 5, s. 4 - 8</w:t>
            </w:r>
          </w:p>
        </w:tc>
      </w:tr>
      <w:tr w:rsidR="0085747A" w:rsidRPr="00B169DF" w14:paraId="796069AE" w14:textId="77777777" w:rsidTr="0071620A">
        <w:trPr>
          <w:trHeight w:val="397"/>
        </w:trPr>
        <w:tc>
          <w:tcPr>
            <w:tcW w:w="7513" w:type="dxa"/>
          </w:tcPr>
          <w:p w14:paraId="2684F2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675CD0" w14:textId="77777777" w:rsidR="00B67F5D" w:rsidRPr="00B67F5D" w:rsidRDefault="00B67F5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Golinowska,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Narracje sztuki w kulturze płynności</w:t>
            </w:r>
          </w:p>
        </w:tc>
      </w:tr>
    </w:tbl>
    <w:p w14:paraId="02C33B6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B071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B859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6FE07" w14:textId="77777777" w:rsidR="00023F14" w:rsidRDefault="00023F14" w:rsidP="00C16ABF">
      <w:pPr>
        <w:spacing w:after="0" w:line="240" w:lineRule="auto"/>
      </w:pPr>
      <w:r>
        <w:separator/>
      </w:r>
    </w:p>
  </w:endnote>
  <w:endnote w:type="continuationSeparator" w:id="0">
    <w:p w14:paraId="460D19C8" w14:textId="77777777" w:rsidR="00023F14" w:rsidRDefault="00023F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D45A" w14:textId="77777777" w:rsidR="00023F14" w:rsidRDefault="00023F14" w:rsidP="00C16ABF">
      <w:pPr>
        <w:spacing w:after="0" w:line="240" w:lineRule="auto"/>
      </w:pPr>
      <w:r>
        <w:separator/>
      </w:r>
    </w:p>
  </w:footnote>
  <w:footnote w:type="continuationSeparator" w:id="0">
    <w:p w14:paraId="7F2A108E" w14:textId="77777777" w:rsidR="00023F14" w:rsidRDefault="00023F14" w:rsidP="00C16ABF">
      <w:pPr>
        <w:spacing w:after="0" w:line="240" w:lineRule="auto"/>
      </w:pPr>
      <w:r>
        <w:continuationSeparator/>
      </w:r>
    </w:p>
  </w:footnote>
  <w:footnote w:id="1">
    <w:p w14:paraId="709715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6648E4"/>
    <w:multiLevelType w:val="hybridMultilevel"/>
    <w:tmpl w:val="8BD4DF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841751">
    <w:abstractNumId w:val="0"/>
  </w:num>
  <w:num w:numId="2" w16cid:durableId="17950919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F1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5A1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416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E4308"/>
    <w:rsid w:val="002F02A3"/>
    <w:rsid w:val="002F4ABE"/>
    <w:rsid w:val="002F62A0"/>
    <w:rsid w:val="003018BA"/>
    <w:rsid w:val="0030395F"/>
    <w:rsid w:val="00305C92"/>
    <w:rsid w:val="003118A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246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364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04BCB"/>
    <w:rsid w:val="00511744"/>
    <w:rsid w:val="00513B6F"/>
    <w:rsid w:val="00517C63"/>
    <w:rsid w:val="005363C4"/>
    <w:rsid w:val="00536BDE"/>
    <w:rsid w:val="00543ACC"/>
    <w:rsid w:val="00560EA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1FA"/>
    <w:rsid w:val="00654934"/>
    <w:rsid w:val="006620D9"/>
    <w:rsid w:val="00671958"/>
    <w:rsid w:val="00675843"/>
    <w:rsid w:val="00696477"/>
    <w:rsid w:val="006C594D"/>
    <w:rsid w:val="006D050F"/>
    <w:rsid w:val="006D6139"/>
    <w:rsid w:val="006E5D65"/>
    <w:rsid w:val="006F1282"/>
    <w:rsid w:val="006F1FBC"/>
    <w:rsid w:val="006F31E2"/>
    <w:rsid w:val="00704E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3B4"/>
    <w:rsid w:val="00763BF1"/>
    <w:rsid w:val="00766FD4"/>
    <w:rsid w:val="0078168C"/>
    <w:rsid w:val="0078328E"/>
    <w:rsid w:val="00787C2A"/>
    <w:rsid w:val="00790E27"/>
    <w:rsid w:val="007A4022"/>
    <w:rsid w:val="007A6E6E"/>
    <w:rsid w:val="007C3299"/>
    <w:rsid w:val="007C3BCC"/>
    <w:rsid w:val="007C4546"/>
    <w:rsid w:val="007C4B6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99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64A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16C"/>
    <w:rsid w:val="00B43B77"/>
    <w:rsid w:val="00B43E80"/>
    <w:rsid w:val="00B607DB"/>
    <w:rsid w:val="00B64112"/>
    <w:rsid w:val="00B66529"/>
    <w:rsid w:val="00B67F5D"/>
    <w:rsid w:val="00B75946"/>
    <w:rsid w:val="00B8056E"/>
    <w:rsid w:val="00B819C8"/>
    <w:rsid w:val="00B82308"/>
    <w:rsid w:val="00B90885"/>
    <w:rsid w:val="00BB1128"/>
    <w:rsid w:val="00BB520A"/>
    <w:rsid w:val="00BD3869"/>
    <w:rsid w:val="00BD66E9"/>
    <w:rsid w:val="00BD6FF4"/>
    <w:rsid w:val="00BF2C41"/>
    <w:rsid w:val="00C058B4"/>
    <w:rsid w:val="00C05F44"/>
    <w:rsid w:val="00C12BB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2A5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87E8E"/>
    <w:rsid w:val="00DA1A1F"/>
    <w:rsid w:val="00DA2114"/>
    <w:rsid w:val="00DE09C0"/>
    <w:rsid w:val="00DE4A14"/>
    <w:rsid w:val="00DF320D"/>
    <w:rsid w:val="00DF71C8"/>
    <w:rsid w:val="00E129B8"/>
    <w:rsid w:val="00E12EA7"/>
    <w:rsid w:val="00E21E7D"/>
    <w:rsid w:val="00E22FBC"/>
    <w:rsid w:val="00E24BF5"/>
    <w:rsid w:val="00E25338"/>
    <w:rsid w:val="00E51E44"/>
    <w:rsid w:val="00E63348"/>
    <w:rsid w:val="00E737DD"/>
    <w:rsid w:val="00E742AA"/>
    <w:rsid w:val="00E77E88"/>
    <w:rsid w:val="00E8107D"/>
    <w:rsid w:val="00E81C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0513"/>
  <w15:docId w15:val="{997E65FB-34CB-4F5E-84A0-7514E0CE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ECA0A-A464-4B6C-9524-05CFD3B1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93</TotalTime>
  <Pages>4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18</cp:revision>
  <cp:lastPrinted>2019-02-06T12:12:00Z</cp:lastPrinted>
  <dcterms:created xsi:type="dcterms:W3CDTF">2023-10-02T12:20:00Z</dcterms:created>
  <dcterms:modified xsi:type="dcterms:W3CDTF">2025-06-30T10:40:00Z</dcterms:modified>
</cp:coreProperties>
</file>